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A5A6B"/>
          <w:sz w:val="19"/>
        </w:rPr>
        <w:t>MODIFIABLE REQUEST FOR PROPOSALS (RFP) TEMPLATE  |  VNA-RFP-009</w:t>
      </w:r>
    </w:p>
    <w:p>
      <w:pPr>
        <w:pStyle w:val="Heading1"/>
      </w:pPr>
      <w:r>
        <w:rPr>
          <w:color w:val="1E2328"/>
        </w:rPr>
        <w:t>Request for Proposals (RFP): HP-UX, IBM AIX &amp; Solaris SPARC to Oracle Database Appliance (ODA X11) Migration</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3A5A6B"/>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1E252B"/>
          </w:tcPr>
          <w:p>
            <w:r>
              <w:rPr>
                <w:b/>
                <w:color w:val="FFFFFF"/>
                <w:sz w:val="19"/>
              </w:rPr>
              <w:t>Procurement Milestone / Field</w:t>
            </w:r>
          </w:p>
        </w:tc>
        <w:tc>
          <w:tcPr>
            <w:tcW w:type="dxa" w:w="5040"/>
            <w:shd w:val="clear" w:color="auto" w:fill="1E252B"/>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VNA-RFP-009 (Companion to Solution Brief VNA-SB-009)</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Oracle on HP-UX IA64/PA-RISC, IBM AIX Power &amp; Solaris SPARC environment to Oracle Database Appliance (ODA X10 / X11) &amp; Exadata Cloud@Customer.</w:t>
      </w:r>
    </w:p>
    <w:p>
      <w:pPr>
        <w:pStyle w:val="ListBullet"/>
      </w:pPr>
      <w:r>
        <w:t>HP-UX (PA-RISC / Itanium), IBM AIX (Power), and Solaris SPARC are Big-Endian architectures, whereas modern Linux x86_64 is Little-Endian. You cannot simply copy physical Oracle datafiles across endian boundaries without block-level endianness conversion.</w:t>
      </w:r>
    </w:p>
    <w:p>
      <w:pPr>
        <w:pStyle w:val="ListBullet"/>
      </w:pPr>
      <w:r>
        <w:t>Legacy SAN arrays and multi-socket RISC frames force customers to license every physical CPU core in the chassis, driving massive annual Oracle Enterprise Edition support bills.</w:t>
      </w:r>
    </w:p>
    <w:p>
      <w:pPr>
        <w:pStyle w:val="ListBullet"/>
      </w:pPr>
      <w:r>
        <w:t>Oracle 19c and 23ai innovation focuses heavily on Oracle Linux and Engineered Systems, leaving legacy Unix ports on terminal sustainment tracks.</w:t>
      </w:r>
    </w:p>
    <w:p>
      <w:pPr>
        <w:pStyle w:val="Heading2"/>
      </w:pPr>
      <w:r>
        <w:rPr>
          <w:color w:val="3A5A6B"/>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3A5A6B"/>
          </w:tcPr>
          <w:p>
            <w:r>
              <w:rPr>
                <w:b/>
                <w:color w:val="FFFFFF"/>
                <w:sz w:val="19"/>
              </w:rPr>
              <w:t>Inventory Dimension</w:t>
            </w:r>
          </w:p>
        </w:tc>
        <w:tc>
          <w:tcPr>
            <w:tcW w:type="dxa" w:w="3360"/>
            <w:shd w:val="clear" w:color="auto" w:fill="3A5A6B"/>
          </w:tcPr>
          <w:p>
            <w:r>
              <w:rPr>
                <w:b/>
                <w:color w:val="FFFFFF"/>
                <w:sz w:val="19"/>
              </w:rPr>
              <w:t>Current Baseline Footprint (Editable)</w:t>
            </w:r>
          </w:p>
        </w:tc>
        <w:tc>
          <w:tcPr>
            <w:tcW w:type="dxa" w:w="3360"/>
            <w:shd w:val="clear" w:color="auto" w:fill="3A5A6B"/>
          </w:tcPr>
          <w:p>
            <w:r>
              <w:rPr>
                <w:b/>
                <w:color w:val="FFFFFF"/>
                <w:sz w:val="19"/>
              </w:rPr>
              <w:t>Target Modernization SLA / Objective</w:t>
            </w:r>
          </w:p>
        </w:tc>
      </w:tr>
      <w:tr>
        <w:tc>
          <w:tcPr>
            <w:tcW w:type="dxa" w:w="3360"/>
          </w:tcPr>
          <w:p>
            <w:r>
              <w:rPr>
                <w:b/>
              </w:rPr>
              <w:t>Legacy Source Stack (Stack X)</w:t>
            </w:r>
          </w:p>
        </w:tc>
        <w:tc>
          <w:tcPr>
            <w:tcW w:type="dxa" w:w="3360"/>
          </w:tcPr>
          <w:p>
            <w:r>
              <w:t>Oracle on HP-UX IA64/PA-RISC, IBM AIX Power &amp; Solaris SPARC</w:t>
            </w:r>
          </w:p>
        </w:tc>
        <w:tc>
          <w:tcPr>
            <w:tcW w:type="dxa" w:w="3360"/>
          </w:tcPr>
          <w:p>
            <w:r>
              <w:t>Full retirement / modernization</w:t>
            </w:r>
          </w:p>
        </w:tc>
      </w:tr>
      <w:tr>
        <w:tc>
          <w:tcPr>
            <w:tcW w:type="dxa" w:w="3360"/>
          </w:tcPr>
          <w:p>
            <w:r>
              <w:rPr>
                <w:b/>
              </w:rPr>
              <w:t>Target Architecture (Stack Y)</w:t>
            </w:r>
          </w:p>
        </w:tc>
        <w:tc>
          <w:tcPr>
            <w:tcW w:type="dxa" w:w="3360"/>
          </w:tcPr>
          <w:p>
            <w:r>
              <w:t>Oracle Database Appliance (ODA X10 / X11) &amp; Exadata Cloud@Customer</w:t>
            </w:r>
          </w:p>
        </w:tc>
        <w:tc>
          <w:tcPr>
            <w:tcW w:type="dxa" w:w="3360"/>
          </w:tcPr>
          <w:p>
            <w:r>
              <w:t>Production HA/DR &amp; security governance</w:t>
            </w:r>
          </w:p>
        </w:tc>
      </w:tr>
      <w:tr>
        <w:tc>
          <w:tcPr>
            <w:tcW w:type="dxa" w:w="3360"/>
          </w:tcPr>
          <w:p>
            <w:r>
              <w:rPr>
                <w:b/>
              </w:rPr>
              <w:t>Current UNIX Physical Cores Licensed</w:t>
            </w:r>
          </w:p>
        </w:tc>
        <w:tc>
          <w:tcPr>
            <w:tcW w:type="dxa" w:w="3360"/>
          </w:tcPr>
          <w:p>
            <w:r>
              <w:t>[Insert Count, e.g., 48 UNIX cores]</w:t>
            </w:r>
          </w:p>
        </w:tc>
        <w:tc>
          <w:tcPr>
            <w:tcW w:type="dxa" w:w="3360"/>
          </w:tcPr>
          <w:p>
            <w:r>
              <w:t>100% functional parity &amp; optimization</w:t>
            </w:r>
          </w:p>
        </w:tc>
      </w:tr>
      <w:tr>
        <w:tc>
          <w:tcPr>
            <w:tcW w:type="dxa" w:w="3360"/>
          </w:tcPr>
          <w:p>
            <w:r>
              <w:rPr>
                <w:b/>
              </w:rPr>
              <w:t>Total Oracle Database Footprint (TB)</w:t>
            </w:r>
          </w:p>
        </w:tc>
        <w:tc>
          <w:tcPr>
            <w:tcW w:type="dxa" w:w="3360"/>
          </w:tcPr>
          <w:p>
            <w:r>
              <w:t>[Insert Count, e.g., 16 TB]</w:t>
            </w:r>
          </w:p>
        </w:tc>
        <w:tc>
          <w:tcPr>
            <w:tcW w:type="dxa" w:w="3360"/>
          </w:tcPr>
          <w:p>
            <w:r>
              <w:t>Automated AST &amp; schema uplift</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3A5A6B"/>
        </w:rPr>
        <w:t>Section 3: Mandatory Technical Scope of Work &amp; Conversion Matrix</w:t>
      </w:r>
    </w:p>
    <w:p>
      <w:pPr>
        <w:pStyle w:val="ListNumber"/>
      </w:pPr>
      <w:r>
        <w:rPr>
          <w:b/>
        </w:rPr>
        <w:t xml:space="preserve">[REQ-ARCH-01] </w:t>
      </w:r>
      <w:r>
        <w:t>ODA Capacity-on-Demand Right-Sizing: Using AWR/Statspack workload profiling, we size your target Oracle Database Appliance (ODA X11-S, X11-L, or X11-HA) and enable only the exact number of CPU cores your workload requires (starting as low as 2 cores), legally reducing your required Oracle processor licenses.</w:t>
      </w:r>
    </w:p>
    <w:p>
      <w:pPr>
        <w:pStyle w:val="ListNumber"/>
      </w:pPr>
      <w:r>
        <w:rPr>
          <w:b/>
        </w:rPr>
        <w:t xml:space="preserve">[REQ-ARCH-02] </w:t>
      </w:r>
      <w:r>
        <w:t>Cross-Platform Transportable Tablespaces (RMAN XTTS v4) with Incremental Backups: For multi-terabyte databases, we pre-stage and convert Big-Endian datafiles to Little-Endian on the target ODA using RMAN incremental backups in the background, shrinking final cutover to a final incremental apply.</w:t>
      </w:r>
    </w:p>
    <w:p>
      <w:pPr>
        <w:pStyle w:val="ListNumber"/>
      </w:pPr>
      <w:r>
        <w:rPr>
          <w:b/>
        </w:rPr>
        <w:t xml:space="preserve">[REQ-ARCH-03] </w:t>
      </w:r>
      <w:r>
        <w:t>Zero-Downtime GoldenGate / SharePlex Cutover: When 24x7 SLA requirements allow less than 5 minutes of downtime, we configure logical replication from 11g/12c/19c on Unix to 19c/23ai on ODA with automated row-hash verification.</w:t>
      </w:r>
    </w:p>
    <w:p>
      <w:pPr>
        <w:pStyle w:val="ListNumber"/>
      </w:pPr>
      <w:r>
        <w:rPr>
          <w:b/>
        </w:rPr>
        <w:t xml:space="preserve">[REQ-ARCH-04] </w:t>
      </w:r>
      <w:r>
        <w:t>KVM Hard Partitioning &amp; Application Consolidation: Using ODA's built-in KVM hypervisor (approved by Oracle LMS for hard partitioning), we consolidate both your databases and adjacent Linux/Windows middle-tier VMs onto a single 2U/4U appliance.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E252B"/>
          </w:tcPr>
          <w:p>
            <w:r>
              <w:rPr>
                <w:b/>
                <w:color w:val="FFFFFF"/>
                <w:sz w:val="19"/>
              </w:rPr>
              <w:t>Req ID</w:t>
            </w:r>
          </w:p>
        </w:tc>
        <w:tc>
          <w:tcPr>
            <w:tcW w:type="dxa" w:w="2520"/>
            <w:shd w:val="clear" w:color="auto" w:fill="1E252B"/>
          </w:tcPr>
          <w:p>
            <w:r>
              <w:rPr>
                <w:b/>
                <w:color w:val="FFFFFF"/>
                <w:sz w:val="19"/>
              </w:rPr>
              <w:t>Legacy Artifact / Baseline Workload</w:t>
            </w:r>
          </w:p>
        </w:tc>
        <w:tc>
          <w:tcPr>
            <w:tcW w:type="dxa" w:w="2520"/>
            <w:shd w:val="clear" w:color="auto" w:fill="1E252B"/>
          </w:tcPr>
          <w:p>
            <w:r>
              <w:rPr>
                <w:b/>
                <w:color w:val="FFFFFF"/>
                <w:sz w:val="19"/>
              </w:rPr>
              <w:t>Required Target Architecture</w:t>
            </w:r>
          </w:p>
        </w:tc>
        <w:tc>
          <w:tcPr>
            <w:tcW w:type="dxa" w:w="2520"/>
            <w:shd w:val="clear" w:color="auto" w:fill="1E252B"/>
          </w:tcPr>
          <w:p>
            <w:r>
              <w:rPr>
                <w:b/>
                <w:color w:val="FFFFFF"/>
                <w:sz w:val="19"/>
              </w:rPr>
              <w:t>Engineering Method &amp; Acceptance Gate</w:t>
            </w:r>
          </w:p>
        </w:tc>
      </w:tr>
      <w:tr>
        <w:tc>
          <w:tcPr>
            <w:tcW w:type="dxa" w:w="2520"/>
          </w:tcPr>
          <w:p>
            <w:r>
              <w:rPr>
                <w:b/>
              </w:rPr>
              <w:t>REQ-01</w:t>
            </w:r>
          </w:p>
        </w:tc>
        <w:tc>
          <w:tcPr>
            <w:tcW w:type="dxa" w:w="2520"/>
          </w:tcPr>
          <w:p>
            <w:r>
              <w:t>Big-Endian Datafiles (HP-UX / AIX / Solaris)</w:t>
            </w:r>
          </w:p>
        </w:tc>
        <w:tc>
          <w:tcPr>
            <w:tcW w:type="dxa" w:w="2520"/>
          </w:tcPr>
          <w:p>
            <w:r>
              <w:t>Little-Endian Oracle Linux 8/9 ASM on NVMe (ODA X11)</w:t>
            </w:r>
          </w:p>
        </w:tc>
        <w:tc>
          <w:tcPr>
            <w:tcW w:type="dxa" w:w="2520"/>
          </w:tcPr>
          <w:p>
            <w:r>
              <w:t>RMAN Cross-Platform Incremental XTTS v4 (`DBMS_FILE_TRANSFER`)</w:t>
            </w:r>
          </w:p>
        </w:tc>
      </w:tr>
      <w:tr>
        <w:tc>
          <w:tcPr>
            <w:tcW w:type="dxa" w:w="2520"/>
          </w:tcPr>
          <w:p>
            <w:r>
              <w:rPr>
                <w:b/>
              </w:rPr>
              <w:t>REQ-02</w:t>
            </w:r>
          </w:p>
        </w:tc>
        <w:tc>
          <w:tcPr>
            <w:tcW w:type="dxa" w:w="2520"/>
          </w:tcPr>
          <w:p>
            <w:r>
              <w:t>Full-Chassis RISC Processor Licensing</w:t>
            </w:r>
          </w:p>
        </w:tc>
        <w:tc>
          <w:tcPr>
            <w:tcW w:type="dxa" w:w="2520"/>
          </w:tcPr>
          <w:p>
            <w:r>
              <w:t>ODA Capacity-on-Demand / KVM Hard Partitioning</w:t>
            </w:r>
          </w:p>
        </w:tc>
        <w:tc>
          <w:tcPr>
            <w:tcW w:type="dxa" w:w="2520"/>
          </w:tcPr>
          <w:p>
            <w:r>
              <w:t>Hardware-Enforced Core Pinning (`odacli update-cpucore`)</w:t>
            </w:r>
          </w:p>
        </w:tc>
      </w:tr>
      <w:tr>
        <w:tc>
          <w:tcPr>
            <w:tcW w:type="dxa" w:w="2520"/>
          </w:tcPr>
          <w:p>
            <w:r>
              <w:rPr>
                <w:b/>
              </w:rPr>
              <w:t>REQ-03</w:t>
            </w:r>
          </w:p>
        </w:tc>
        <w:tc>
          <w:tcPr>
            <w:tcW w:type="dxa" w:w="2520"/>
          </w:tcPr>
          <w:p>
            <w:r>
              <w:t>Legacy Fibre Channel SAN Multipathing</w:t>
            </w:r>
          </w:p>
        </w:tc>
        <w:tc>
          <w:tcPr>
            <w:tcW w:type="dxa" w:w="2520"/>
          </w:tcPr>
          <w:p>
            <w:r>
              <w:t>Direct-Attached Enterprise NVMe + ASM Redundancy</w:t>
            </w:r>
          </w:p>
        </w:tc>
        <w:tc>
          <w:tcPr>
            <w:tcW w:type="dxa" w:w="2520"/>
          </w:tcPr>
          <w:p>
            <w:r>
              <w:t>Zero-SAN Single-Vendor Engineered Stack</w:t>
            </w:r>
          </w:p>
        </w:tc>
      </w:tr>
      <w:tr>
        <w:tc>
          <w:tcPr>
            <w:tcW w:type="dxa" w:w="2520"/>
          </w:tcPr>
          <w:p>
            <w:r>
              <w:rPr>
                <w:b/>
              </w:rPr>
              <w:t>REQ-04</w:t>
            </w:r>
          </w:p>
        </w:tc>
        <w:tc>
          <w:tcPr>
            <w:tcW w:type="dxa" w:w="2520"/>
          </w:tcPr>
          <w:p>
            <w:r>
              <w:t>Shell Scripts (`ksh`/`csh`) &amp; Pro*C Cron Jobs</w:t>
            </w:r>
          </w:p>
        </w:tc>
        <w:tc>
          <w:tcPr>
            <w:tcW w:type="dxa" w:w="2520"/>
          </w:tcPr>
          <w:p>
            <w:r>
              <w:t>Oracle Linux Bash + `DBMS_SCHEDULER` / APEX Automations</w:t>
            </w:r>
          </w:p>
        </w:tc>
        <w:tc>
          <w:tcPr>
            <w:tcW w:type="dxa" w:w="2520"/>
          </w:tcPr>
          <w:p>
            <w:r>
              <w:t>POSIX Path &amp; Environment Variable Normalization</w:t>
            </w:r>
          </w:p>
        </w:tc>
      </w:tr>
    </w:tbl>
    <w:p>
      <w:pPr>
        <w:pStyle w:val="Heading2"/>
      </w:pPr>
      <w:r>
        <w:rPr>
          <w:color w:val="3A5A6B"/>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Does Oracle License Management Services (LMS) recognize ODA Capacity-on-Demand for reducing license counts?   [Evaluator Score: ___ / 10]</w:t>
      </w:r>
    </w:p>
    <w:p>
      <w:pPr>
        <w:pStyle w:val="ListBullet"/>
      </w:pPr>
      <w:r>
        <w:rPr>
          <w:b/>
        </w:rPr>
        <w:t xml:space="preserve">Reference Evaluation Benchmark: </w:t>
      </w:r>
      <w:r>
        <w:t>Yes. Oracle Database Appliance is an official Oracle Engineered System. You are only required to license the CPU cores explicitly enabled via `odacli` or hard-partitioned in ODA KVM Database Systems, not the physical cores installed in the server.</w:t>
      </w:r>
    </w:p>
    <w:p>
      <w:pPr>
        <w:pStyle w:val="ListBullet"/>
      </w:pPr>
      <w:r>
        <w:rPr>
          <w:b/>
        </w:rPr>
        <w:t xml:space="preserve">Vendor Written Response: </w:t>
      </w:r>
      <w:r>
        <w:t>[Bidder to insert concrete technical architecture and verifiable production proof here]</w:t>
      </w:r>
    </w:p>
    <w:p>
      <w:r>
        <w:rPr>
          <w:b/>
        </w:rPr>
        <w:t>Vendor Question 2: How do you prevent SQL execution plan regressions when moving from 11g/12c on Unix to 19c/23ai on ODA?   [Evaluator Score: ___ / 10]</w:t>
      </w:r>
    </w:p>
    <w:p>
      <w:pPr>
        <w:pStyle w:val="ListBullet"/>
      </w:pPr>
      <w:r>
        <w:rPr>
          <w:b/>
        </w:rPr>
        <w:t xml:space="preserve">Reference Evaluation Benchmark: </w:t>
      </w:r>
      <w:r>
        <w:t>We capture SQL Tuning Sets (STS) and SQL Plan Baselines on the legacy Unix database prior to cutover and test them against the ODA target using Oracle Real Application Testing (SPA), locking in verified plans via SQL Plan Management (SPM).</w:t>
      </w:r>
    </w:p>
    <w:p>
      <w:pPr>
        <w:pStyle w:val="ListBullet"/>
      </w:pPr>
      <w:r>
        <w:rPr>
          <w:b/>
        </w:rPr>
        <w:t xml:space="preserve">Vendor Written Response: </w:t>
      </w:r>
      <w:r>
        <w:t>[Bidder to insert concrete technical architecture and verifiable production proof here]</w:t>
      </w:r>
    </w:p>
    <w:p>
      <w:r>
        <w:rPr>
          <w:b/>
        </w:rPr>
        <w:t>Vendor Question 3: What is included in the downloadable PDF Solution Brief?   [Evaluator Score: ___ / 10]</w:t>
      </w:r>
    </w:p>
    <w:p>
      <w:pPr>
        <w:pStyle w:val="ListBullet"/>
      </w:pPr>
      <w:r>
        <w:rPr>
          <w:b/>
        </w:rPr>
        <w:t xml:space="preserve">Reference Evaluation Benchmark: </w:t>
      </w:r>
      <w:r>
        <w:t>The PDF Solution Brief includes the ODA X11 hardware/licensing sizing calculator, the RMAN XTTS v4 vs. GoldenGate decision matrix, and a step-by-step cross-endian cutover checklist.</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3A5A6B"/>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E252B"/>
          </w:tcPr>
          <w:p>
            <w:r>
              <w:rPr>
                <w:b/>
                <w:color w:val="FFFFFF"/>
                <w:sz w:val="19"/>
              </w:rPr>
              <w:t>Milestone / Phase</w:t>
            </w:r>
          </w:p>
        </w:tc>
        <w:tc>
          <w:tcPr>
            <w:tcW w:type="dxa" w:w="2520"/>
            <w:shd w:val="clear" w:color="auto" w:fill="1E252B"/>
          </w:tcPr>
          <w:p>
            <w:r>
              <w:rPr>
                <w:b/>
                <w:color w:val="FFFFFF"/>
                <w:sz w:val="19"/>
              </w:rPr>
              <w:t>Deliverable &amp; Acceptance Gate</w:t>
            </w:r>
          </w:p>
        </w:tc>
        <w:tc>
          <w:tcPr>
            <w:tcW w:type="dxa" w:w="2520"/>
            <w:shd w:val="clear" w:color="auto" w:fill="1E252B"/>
          </w:tcPr>
          <w:p>
            <w:r>
              <w:rPr>
                <w:b/>
                <w:color w:val="FFFFFF"/>
                <w:sz w:val="19"/>
              </w:rPr>
              <w:t>Fixed Fee (USD)</w:t>
            </w:r>
          </w:p>
        </w:tc>
        <w:tc>
          <w:tcPr>
            <w:tcW w:type="dxa" w:w="2520"/>
            <w:shd w:val="clear" w:color="auto" w:fill="1E252B"/>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(VNA-RFP-009)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VNA-RFP-009  |  https://hpux-aix-solaris-to-oda.web.app/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